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W w:w="9854" w:type="dxa"/>
        <w:jc w:val="left"/>
        <w:tblInd w:w="-216" w:type="dxa"/>
        <w:tblBorders/>
        <w:tblCellMar>
          <w:top w:w="0" w:type="dxa"/>
          <w:left w:w="10" w:type="dxa"/>
          <w:bottom w:w="0" w:type="dxa"/>
          <w:right w:w="10" w:type="dxa"/>
        </w:tblCellMar>
      </w:tblPr>
      <w:tblGrid>
        <w:gridCol w:w="3215"/>
        <w:gridCol w:w="3421"/>
        <w:gridCol w:w="3218"/>
      </w:tblGrid>
      <w:tr>
        <w:trPr>
          <w:trHeight w:val="1410" w:hRule="atLeast"/>
        </w:trPr>
        <w:tc>
          <w:tcPr>
            <w:tcW w:w="3215" w:type="dxa"/>
            <w:tcBorders/>
            <w:shd w:fill="auto" w:val="clear"/>
          </w:tcPr>
          <w:p>
            <w:pPr>
              <w:pStyle w:val="Standard"/>
              <w:snapToGrid w:val="false"/>
              <w:jc w:val="center"/>
              <w:rPr>
                <w:b/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</w:r>
          </w:p>
        </w:tc>
        <w:tc>
          <w:tcPr>
            <w:tcW w:w="3421" w:type="dxa"/>
            <w:tcBorders/>
            <w:shd w:fill="auto" w:val="clear"/>
          </w:tcPr>
          <w:p>
            <w:pPr>
              <w:pStyle w:val="Standard"/>
              <w:jc w:val="center"/>
              <w:rPr>
                <w:lang w:val="ru-RU" w:eastAsia="ru-RU" w:bidi="ar-SA"/>
              </w:rPr>
            </w:pPr>
            <w:r>
              <w:rPr>
                <w:lang w:val="ru-RU" w:eastAsia="ru-RU" w:bidi="ar-SA"/>
              </w:rPr>
              <w:drawing>
                <wp:inline distT="0" distB="0" distL="0" distR="0">
                  <wp:extent cx="790575" cy="932180"/>
                  <wp:effectExtent l="0" t="0" r="0" b="0"/>
                  <wp:docPr id="1" name="Изображение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45" t="-38" r="-45" b="-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932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8" w:type="dxa"/>
            <w:tcBorders/>
            <w:shd w:fill="auto" w:val="clear"/>
          </w:tcPr>
          <w:p>
            <w:pPr>
              <w:pStyle w:val="Standard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2338" w:hRule="atLeast"/>
        </w:trPr>
        <w:tc>
          <w:tcPr>
            <w:tcW w:w="9854" w:type="dxa"/>
            <w:gridSpan w:val="3"/>
            <w:tcBorders/>
            <w:shd w:fill="auto" w:val="clear"/>
            <w:tcMar>
              <w:left w:w="108" w:type="dxa"/>
              <w:right w:w="108" w:type="dxa"/>
            </w:tcMar>
          </w:tcPr>
          <w:p>
            <w:pPr>
              <w:pStyle w:val="Style19"/>
              <w:spacing w:lineRule="auto" w:line="276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РОССИЙСКАЯ ФЕДЕРАЦИЯ</w:t>
            </w:r>
          </w:p>
          <w:p>
            <w:pPr>
              <w:pStyle w:val="Style19"/>
              <w:spacing w:lineRule="auto" w:line="276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ИВАНОВСКАЯ  ОБЛАСТЬ</w:t>
            </w:r>
          </w:p>
          <w:p>
            <w:pPr>
              <w:pStyle w:val="Style19"/>
              <w:spacing w:lineRule="auto" w:line="276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СОВЕТ САВИНСКОГО МУНИЦИПАЛЬНОГО РАЙОНА</w:t>
            </w:r>
          </w:p>
          <w:p>
            <w:pPr>
              <w:pStyle w:val="Style19"/>
              <w:spacing w:lineRule="auto" w:line="276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ШЕСТОГО</w:t>
            </w: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 xml:space="preserve">  СОЗЫВА  </w:t>
            </w:r>
          </w:p>
        </w:tc>
      </w:tr>
    </w:tbl>
    <w:p>
      <w:pPr>
        <w:pStyle w:val="Normal"/>
        <w:rPr/>
      </w:pPr>
      <w:r>
        <w:rPr>
          <w:rFonts w:eastAsia="Liberation Serif;Times New Roman" w:cs="Liberation Serif;Times New Roman"/>
          <w:sz w:val="28"/>
          <w:szCs w:val="28"/>
        </w:rPr>
        <w:t xml:space="preserve">                                                      </w:t>
      </w:r>
      <w:r>
        <w:rPr>
          <w:b/>
          <w:bCs/>
          <w:sz w:val="28"/>
          <w:szCs w:val="28"/>
        </w:rPr>
        <w:t>РЕШЕНИЕ</w:t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ConsPlusNormal"/>
        <w:rPr/>
      </w:pPr>
      <w:r>
        <w:rPr/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от  </w:t>
      </w:r>
      <w:r>
        <w:rPr>
          <w:rFonts w:cs="Times New Roman" w:ascii="Times New Roman" w:hAnsi="Times New Roman"/>
          <w:b/>
          <w:bCs/>
          <w:sz w:val="28"/>
          <w:szCs w:val="28"/>
        </w:rPr>
        <w:t>26</w:t>
      </w:r>
      <w:r>
        <w:rPr>
          <w:rFonts w:cs="Times New Roman" w:ascii="Times New Roman" w:hAnsi="Times New Roman"/>
          <w:b/>
          <w:bCs/>
          <w:sz w:val="28"/>
          <w:szCs w:val="28"/>
        </w:rPr>
        <w:t>.11.20</w:t>
      </w:r>
      <w:r>
        <w:rPr>
          <w:rFonts w:cs="Times New Roman" w:ascii="Times New Roman" w:hAnsi="Times New Roman"/>
          <w:b/>
          <w:bCs/>
          <w:sz w:val="28"/>
          <w:szCs w:val="28"/>
        </w:rPr>
        <w:t>20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 №  </w:t>
      </w:r>
      <w:r>
        <w:rPr>
          <w:rFonts w:cs="Times New Roman" w:ascii="Times New Roman" w:hAnsi="Times New Roman"/>
          <w:b/>
          <w:bCs/>
          <w:sz w:val="28"/>
          <w:szCs w:val="28"/>
        </w:rPr>
        <w:t>37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- р  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пос. Савино </w:t>
      </w:r>
    </w:p>
    <w:p>
      <w:pPr>
        <w:pStyle w:val="ConsPlusNormal"/>
        <w:rPr/>
      </w:pPr>
      <w:r>
        <w:rPr/>
      </w:r>
    </w:p>
    <w:p>
      <w:pPr>
        <w:pStyle w:val="ConsPlusNormal"/>
        <w:rPr/>
      </w:pPr>
      <w:r>
        <w:rPr/>
      </w:r>
    </w:p>
    <w:p>
      <w:pPr>
        <w:pStyle w:val="ConsPlusNormal"/>
        <w:rPr/>
      </w:pPr>
      <w:r>
        <w:rPr>
          <w:rFonts w:eastAsia="Arial" w:cs="Arial"/>
        </w:rPr>
        <w:t xml:space="preserve">       </w:t>
      </w:r>
      <w:r>
        <w:rPr>
          <w:rFonts w:cs="Times New Roman" w:ascii="Times New Roman" w:hAnsi="Times New Roman"/>
          <w:b/>
          <w:bCs/>
          <w:sz w:val="28"/>
          <w:szCs w:val="28"/>
        </w:rPr>
        <w:t>О передаче  Савинским  муниципальным районом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 </w:t>
      </w:r>
      <w:r>
        <w:rPr>
          <w:rFonts w:cs="Times New Roman" w:ascii="Times New Roman" w:hAnsi="Times New Roman"/>
          <w:b/>
          <w:bCs/>
          <w:sz w:val="28"/>
          <w:szCs w:val="28"/>
        </w:rPr>
        <w:t>Архиповскому  сельскому  поселению Савинского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 </w:t>
      </w:r>
      <w:r>
        <w:rPr>
          <w:rFonts w:cs="Times New Roman" w:ascii="Times New Roman" w:hAnsi="Times New Roman"/>
          <w:b/>
          <w:bCs/>
          <w:sz w:val="28"/>
          <w:szCs w:val="28"/>
        </w:rPr>
        <w:t>муниципального  района  Ивановской  области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полномочий  по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содержанию  мест  захоронения  на  20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2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1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г.   </w:t>
      </w:r>
    </w:p>
    <w:p>
      <w:pPr>
        <w:pStyle w:val="ConsPlusNormal"/>
        <w:rPr/>
      </w:pPr>
      <w:r>
        <w:rPr/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                            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 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283" w:firstLine="57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В  соответствии  со  ст. 142.4  Бюджетного  кодекса  Российской  Федерации ,    ч. 4  статьи  15  Федерального  закона от  06.10.2003 г. № 131-ФЗ  «Об  общих принципах  организации  местного  самоуправления в  Российской  Федерации», ст. 23  Устава  Савинского муниципального  района, Совет  Савинского  муниципального  района  решил: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283" w:firstLine="57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      </w:t>
      </w:r>
      <w:r>
        <w:rPr>
          <w:rFonts w:cs="Times New Roman" w:ascii="Times New Roman" w:hAnsi="Times New Roman"/>
          <w:sz w:val="28"/>
          <w:szCs w:val="28"/>
        </w:rPr>
        <w:t xml:space="preserve">1. Савинскому   муниципальному  району  </w:t>
      </w:r>
      <w:r>
        <w:rPr>
          <w:rFonts w:cs="Times New Roman" w:ascii="Times New Roman" w:hAnsi="Times New Roman"/>
          <w:sz w:val="28"/>
          <w:szCs w:val="28"/>
        </w:rPr>
        <w:t>передать</w:t>
      </w:r>
      <w:r>
        <w:rPr>
          <w:rFonts w:cs="Times New Roman" w:ascii="Times New Roman" w:hAnsi="Times New Roman"/>
          <w:sz w:val="28"/>
          <w:szCs w:val="28"/>
        </w:rPr>
        <w:t xml:space="preserve">  Архиповскому  сельскому  поселению  Савинского  муниципального  района  Ивановской  области  полномочия  по   содержанию  мест  захоронения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на  20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2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1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г.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283" w:firstLine="57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Для  выполнения  вышеуказанных  полномочий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предоставить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Архиповскому  сельскому  поселению Савинского  муниципального  района  Ивановской  области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за  счет  межбюджетных  трансфертов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следующие  денежные  средства -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5510,12 руб. (пять  тысяч  пятьсот  десять  рублей  двенадцать  копеек).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283" w:firstLine="57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2. Утвердить  методику  распределения  иных  межбюджетных  трансфертов    на  осуществление  полномочий  по  содержанию  мест  захоронения    ( Приложение 1).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283" w:firstLine="57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3. Заключить  с  Архиповским  сельским  поселением Савинского  муниципального  района  Ивановской  области соглашение  о  передаче  полномочий  по  содержанию  мест  захоронения.           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283" w:firstLine="57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4.  Разместить  настоящее  решение  на  официальном  сайте  Савинского муниципального  района  в  информационно - телекоммуникационной  сети «Интернет».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283" w:firstLine="57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283" w:firstLine="57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5.  Настоящее  решение  вступает  в  силу  с  01.01.20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21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г.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             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Временно  исполняющий  полномочия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Главы  Савинского  муниципального  района                         С.В. Поварков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Председатель  Совета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Савинского  муниципального  района                                        С.Н. Карачёв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Приложение</w:t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 решению Совета</w:t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Савинского муниципального района</w:t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от </w:t>
      </w:r>
      <w:r>
        <w:rPr>
          <w:rFonts w:cs="Times New Roman" w:ascii="Times New Roman" w:hAnsi="Times New Roman"/>
          <w:sz w:val="28"/>
          <w:szCs w:val="28"/>
        </w:rPr>
        <w:t>26</w:t>
      </w:r>
      <w:r>
        <w:rPr>
          <w:rFonts w:cs="Times New Roman" w:ascii="Times New Roman" w:hAnsi="Times New Roman"/>
          <w:sz w:val="28"/>
          <w:szCs w:val="28"/>
        </w:rPr>
        <w:t>.</w:t>
      </w:r>
      <w:r>
        <w:rPr>
          <w:rFonts w:cs="Times New Roman" w:ascii="Times New Roman" w:hAnsi="Times New Roman"/>
          <w:sz w:val="28"/>
          <w:szCs w:val="28"/>
        </w:rPr>
        <w:t>11</w:t>
      </w:r>
      <w:r>
        <w:rPr>
          <w:rFonts w:cs="Times New Roman" w:ascii="Times New Roman" w:hAnsi="Times New Roman"/>
          <w:sz w:val="28"/>
          <w:szCs w:val="28"/>
        </w:rPr>
        <w:t>.20</w:t>
      </w:r>
      <w:r>
        <w:rPr>
          <w:rFonts w:cs="Times New Roman" w:ascii="Times New Roman" w:hAnsi="Times New Roman"/>
          <w:sz w:val="28"/>
          <w:szCs w:val="28"/>
        </w:rPr>
        <w:t>20</w:t>
      </w:r>
      <w:r>
        <w:rPr>
          <w:rFonts w:cs="Times New Roman" w:ascii="Times New Roman" w:hAnsi="Times New Roman"/>
          <w:sz w:val="28"/>
          <w:szCs w:val="28"/>
        </w:rPr>
        <w:t xml:space="preserve"> №  </w:t>
      </w:r>
      <w:r>
        <w:rPr>
          <w:rFonts w:cs="Times New Roman" w:ascii="Times New Roman" w:hAnsi="Times New Roman"/>
          <w:sz w:val="28"/>
          <w:szCs w:val="28"/>
        </w:rPr>
        <w:t>37</w:t>
      </w:r>
      <w:r>
        <w:rPr>
          <w:rFonts w:cs="Times New Roman" w:ascii="Times New Roman" w:hAnsi="Times New Roman"/>
          <w:sz w:val="28"/>
          <w:szCs w:val="28"/>
        </w:rPr>
        <w:t xml:space="preserve">  - р</w:t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32"/>
          <w:szCs w:val="32"/>
        </w:rPr>
      </w:pPr>
      <w:r>
        <w:rPr>
          <w:rFonts w:cs="Times New Roman" w:ascii="Times New Roman" w:hAnsi="Times New Roman"/>
          <w:b/>
          <w:bCs/>
          <w:sz w:val="32"/>
          <w:szCs w:val="32"/>
        </w:rPr>
        <w:t>Методика</w:t>
      </w:r>
    </w:p>
    <w:p>
      <w:pPr>
        <w:pStyle w:val="Normal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распределения иных межбюджетных трансфертов</w:t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sz w:val="32"/>
          <w:szCs w:val="32"/>
        </w:rPr>
        <w:t xml:space="preserve">на осуществление полномочий по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32"/>
          <w:szCs w:val="32"/>
          <w:u w:val="none"/>
        </w:rPr>
        <w:t>содержанию мест захоронения</w:t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113"/>
        <w:ind w:left="0" w:right="0" w:firstLine="1134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Расчет иных межбюджетных трансфертов на осуществление полномочий по содержанию мест захоронения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>:</w:t>
      </w:r>
    </w:p>
    <w:p>
      <w:pPr>
        <w:pStyle w:val="Normal"/>
        <w:spacing w:before="0" w:after="113"/>
        <w:jc w:val="left"/>
        <w:rPr/>
      </w:pPr>
      <w:r>
        <w:rPr>
          <w:rFonts w:eastAsia="Times New Roman" w:cs="Times New Roman" w:ascii="Times New Roman" w:hAnsi="Times New Roman"/>
          <w:sz w:val="32"/>
          <w:szCs w:val="32"/>
        </w:rPr>
        <w:t xml:space="preserve">      </w:t>
      </w:r>
      <w:r>
        <w:rPr>
          <w:rFonts w:cs="Times New Roman" w:ascii="Times New Roman" w:hAnsi="Times New Roman"/>
          <w:sz w:val="32"/>
          <w:szCs w:val="32"/>
        </w:rPr>
        <w:t>Р</w:t>
      </w:r>
      <w:r>
        <w:rPr>
          <w:rFonts w:cs="Times New Roman" w:ascii="Times New Roman" w:hAnsi="Times New Roman"/>
          <w:sz w:val="32"/>
          <w:szCs w:val="32"/>
          <w:vertAlign w:val="subscript"/>
        </w:rPr>
        <w:t xml:space="preserve">мт </w:t>
      </w:r>
      <w:r>
        <w:rPr>
          <w:rFonts w:cs="Times New Roman" w:ascii="Times New Roman" w:hAnsi="Times New Roman"/>
          <w:position w:val="0"/>
          <w:sz w:val="32"/>
          <w:sz w:val="32"/>
          <w:szCs w:val="32"/>
          <w:vertAlign w:val="baseline"/>
        </w:rPr>
        <w:t xml:space="preserve">= </w:t>
      </w:r>
      <w:r>
        <w:rPr>
          <w:rFonts w:cs="Times New Roman" w:ascii="Times New Roman" w:hAnsi="Times New Roman"/>
          <w:position w:val="0"/>
          <w:sz w:val="32"/>
          <w:sz w:val="32"/>
          <w:szCs w:val="32"/>
          <w:vertAlign w:val="baseline"/>
        </w:rPr>
        <w:t>Σ</w:t>
      </w:r>
      <w:r>
        <w:rPr>
          <w:rFonts w:cs="Times New Roman" w:ascii="Times New Roman" w:hAnsi="Times New Roman"/>
          <w:sz w:val="32"/>
          <w:szCs w:val="32"/>
          <w:vertAlign w:val="subscript"/>
        </w:rPr>
        <w:t>затрат</w:t>
      </w:r>
      <w:r>
        <w:rPr>
          <w:rFonts w:cs="Times New Roman" w:ascii="Times New Roman" w:hAnsi="Times New Roman"/>
          <w:position w:val="0"/>
          <w:sz w:val="28"/>
          <w:sz w:val="28"/>
          <w:szCs w:val="28"/>
          <w:vertAlign w:val="baseline"/>
        </w:rPr>
        <w:t>, где</w:t>
      </w:r>
    </w:p>
    <w:p>
      <w:pPr>
        <w:pStyle w:val="Normal"/>
        <w:spacing w:before="0" w:after="113"/>
        <w:jc w:val="left"/>
        <w:rPr/>
      </w:pPr>
      <w:r>
        <w:rPr>
          <w:rFonts w:eastAsia="Times New Roman" w:cs="Times New Roman" w:ascii="Times New Roman" w:hAnsi="Times New Roman"/>
          <w:position w:val="0"/>
          <w:sz w:val="32"/>
          <w:sz w:val="32"/>
          <w:szCs w:val="32"/>
          <w:vertAlign w:val="baseline"/>
        </w:rPr>
        <w:t>Р</w:t>
      </w:r>
      <w:r>
        <w:rPr>
          <w:rFonts w:eastAsia="Times New Roman" w:cs="Times New Roman" w:ascii="Times New Roman" w:hAnsi="Times New Roman"/>
          <w:sz w:val="32"/>
          <w:szCs w:val="32"/>
          <w:vertAlign w:val="subscript"/>
        </w:rPr>
        <w:t>мт</w:t>
      </w:r>
      <w:r>
        <w:rPr>
          <w:rFonts w:eastAsia="Times New Roman" w:cs="Times New Roman" w:ascii="Times New Roman" w:hAnsi="Times New Roman"/>
          <w:position w:val="0"/>
          <w:sz w:val="32"/>
          <w:sz w:val="32"/>
          <w:szCs w:val="32"/>
          <w:vertAlign w:val="baseline"/>
        </w:rPr>
        <w:t xml:space="preserve"> —</w:t>
      </w:r>
      <w:r>
        <w:rPr>
          <w:rFonts w:eastAsia="Times New Roman" w:cs="Times New Roman" w:ascii="Times New Roman" w:hAnsi="Times New Roman"/>
          <w:position w:val="0"/>
          <w:sz w:val="28"/>
          <w:sz w:val="28"/>
          <w:szCs w:val="28"/>
          <w:vertAlign w:val="baseline"/>
        </w:rPr>
        <w:t xml:space="preserve"> распределение межбюджетных трансфертов;</w:t>
      </w:r>
    </w:p>
    <w:p>
      <w:pPr>
        <w:pStyle w:val="Normal"/>
        <w:spacing w:before="0" w:after="113"/>
        <w:jc w:val="both"/>
        <w:rPr/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32"/>
          <w:sz w:val="32"/>
          <w:szCs w:val="32"/>
          <w:u w:val="none"/>
          <w:vertAlign w:val="baseline"/>
        </w:rPr>
        <w:t>Σ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sz w:val="32"/>
          <w:szCs w:val="32"/>
          <w:u w:val="none"/>
          <w:vertAlign w:val="subscript"/>
        </w:rPr>
        <w:t>затрат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32"/>
          <w:sz w:val="32"/>
          <w:szCs w:val="32"/>
          <w:u w:val="none"/>
          <w:vertAlign w:val="baseline"/>
        </w:rPr>
        <w:t xml:space="preserve">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32"/>
          <w:sz w:val="32"/>
          <w:szCs w:val="32"/>
          <w:u w:val="none"/>
          <w:vertAlign w:val="baseline"/>
        </w:rPr>
        <w:t>—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 xml:space="preserve"> материальные затраты на осуществление полномочий по содержанию мест захоронения.</w:t>
      </w:r>
    </w:p>
    <w:p>
      <w:pPr>
        <w:pStyle w:val="Normal"/>
        <w:bidi w:val="0"/>
        <w:spacing w:before="0" w:after="113"/>
        <w:ind w:left="0" w:right="0" w:firstLine="850"/>
        <w:jc w:val="left"/>
        <w:rPr/>
      </w:pPr>
      <w:r>
        <w:rPr>
          <w:rFonts w:eastAsia="Times New Roman" w:cs="Times New Roman" w:ascii="Times New Roman" w:hAnsi="Times New Roman"/>
          <w:position w:val="0"/>
          <w:sz w:val="32"/>
          <w:sz w:val="32"/>
          <w:szCs w:val="32"/>
          <w:vertAlign w:val="baseline"/>
        </w:rPr>
        <w:t>Σ</w:t>
      </w:r>
      <w:r>
        <w:rPr>
          <w:rFonts w:eastAsia="Times New Roman" w:cs="Times New Roman" w:ascii="Times New Roman" w:hAnsi="Times New Roman"/>
          <w:sz w:val="32"/>
          <w:szCs w:val="32"/>
          <w:vertAlign w:val="subscript"/>
        </w:rPr>
        <w:t xml:space="preserve">затрат </w:t>
      </w:r>
      <w:r>
        <w:rPr>
          <w:rFonts w:eastAsia="Times New Roman" w:cs="Times New Roman" w:ascii="Times New Roman" w:hAnsi="Times New Roman"/>
          <w:position w:val="0"/>
          <w:sz w:val="32"/>
          <w:sz w:val="32"/>
          <w:szCs w:val="32"/>
          <w:vertAlign w:val="baseline"/>
        </w:rPr>
        <w:t xml:space="preserve">=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32"/>
          <w:sz w:val="32"/>
          <w:szCs w:val="32"/>
          <w:u w:val="none"/>
          <w:vertAlign w:val="baseline"/>
        </w:rPr>
        <w:t xml:space="preserve">Σ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sz w:val="32"/>
          <w:szCs w:val="32"/>
          <w:u w:val="none"/>
          <w:vertAlign w:val="subscript"/>
          <w:lang w:val="ru-RU"/>
        </w:rPr>
        <w:t>затрат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sz w:val="32"/>
          <w:szCs w:val="32"/>
          <w:u w:val="none"/>
          <w:vertAlign w:val="subscript"/>
        </w:rPr>
        <w:t xml:space="preserve"> на сод.мест зах.</w:t>
      </w:r>
      <w:r>
        <w:rPr>
          <w:rFonts w:eastAsia="Times New Roman" w:cs="Times New Roman" w:ascii="Times New Roman" w:hAnsi="Times New Roman"/>
          <w:position w:val="0"/>
          <w:sz w:val="32"/>
          <w:sz w:val="32"/>
          <w:szCs w:val="32"/>
          <w:vertAlign w:val="baseline"/>
        </w:rPr>
        <w:t>*М</w:t>
      </w:r>
      <w:r>
        <w:rPr>
          <w:rFonts w:eastAsia="Times New Roman" w:cs="Times New Roman" w:ascii="Times New Roman" w:hAnsi="Times New Roman"/>
          <w:sz w:val="32"/>
          <w:szCs w:val="32"/>
          <w:vertAlign w:val="subscript"/>
          <w:lang w:val="en-US"/>
        </w:rPr>
        <w:t>i</w:t>
      </w:r>
      <w:r>
        <w:rPr>
          <w:rFonts w:eastAsia="Times New Roman" w:cs="Times New Roman" w:ascii="Times New Roman" w:hAnsi="Times New Roman"/>
          <w:position w:val="0"/>
          <w:sz w:val="32"/>
          <w:sz w:val="32"/>
          <w:szCs w:val="32"/>
          <w:vertAlign w:val="baseline"/>
        </w:rPr>
        <w:t>*К</w:t>
      </w:r>
      <w:r>
        <w:rPr>
          <w:rFonts w:eastAsia="Times New Roman" w:cs="Times New Roman" w:ascii="Times New Roman" w:hAnsi="Times New Roman"/>
          <w:sz w:val="32"/>
          <w:szCs w:val="32"/>
          <w:vertAlign w:val="subscript"/>
        </w:rPr>
        <w:t>1</w:t>
      </w:r>
      <w:r>
        <w:rPr>
          <w:rFonts w:eastAsia="Times New Roman" w:cs="Times New Roman" w:ascii="Times New Roman" w:hAnsi="Times New Roman"/>
          <w:position w:val="0"/>
          <w:sz w:val="32"/>
          <w:sz w:val="32"/>
          <w:szCs w:val="32"/>
          <w:vertAlign w:val="baseline"/>
        </w:rPr>
        <w:t xml:space="preserve">, </w:t>
      </w:r>
      <w:r>
        <w:rPr>
          <w:rFonts w:eastAsia="Times New Roman" w:cs="Times New Roman" w:ascii="Times New Roman" w:hAnsi="Times New Roman"/>
          <w:position w:val="0"/>
          <w:sz w:val="28"/>
          <w:sz w:val="28"/>
          <w:szCs w:val="28"/>
          <w:vertAlign w:val="baseline"/>
        </w:rPr>
        <w:t>где</w:t>
      </w:r>
    </w:p>
    <w:p>
      <w:pPr>
        <w:pStyle w:val="Normal"/>
        <w:spacing w:before="0" w:after="113"/>
        <w:jc w:val="both"/>
        <w:rPr/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32"/>
          <w:sz w:val="32"/>
          <w:szCs w:val="32"/>
          <w:u w:val="none"/>
          <w:vertAlign w:val="baseline"/>
        </w:rPr>
        <w:t xml:space="preserve">Σ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sz w:val="32"/>
          <w:szCs w:val="32"/>
          <w:u w:val="none"/>
          <w:vertAlign w:val="subscript"/>
          <w:lang w:val="ru-RU"/>
        </w:rPr>
        <w:t>затрат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sz w:val="32"/>
          <w:szCs w:val="32"/>
          <w:u w:val="none"/>
          <w:vertAlign w:val="subscript"/>
        </w:rPr>
        <w:t xml:space="preserve"> на сод.мест зах.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>—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 xml:space="preserve"> сумма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  <w:lang w:val="ru-RU"/>
        </w:rPr>
        <w:t xml:space="preserve">затрат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 xml:space="preserve">на осуществление полномочий по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>содержанию мест захоронения, установленная нормативным правовым актом администрации Савинского муниципального района;</w:t>
      </w:r>
    </w:p>
    <w:p>
      <w:pPr>
        <w:pStyle w:val="Normal"/>
        <w:bidi w:val="0"/>
        <w:spacing w:before="0" w:after="113"/>
        <w:jc w:val="both"/>
        <w:rPr/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>М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  <w:vertAlign w:val="subscript"/>
          <w:lang w:val="en-US"/>
        </w:rPr>
        <w:t>i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 xml:space="preserve"> — количество мест захоронения на территории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  <w:lang w:val="ru-RU"/>
        </w:rPr>
        <w:t xml:space="preserve">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  <w:lang w:val="en-US"/>
        </w:rPr>
        <w:t xml:space="preserve">i -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  <w:lang w:val="ru-RU"/>
        </w:rPr>
        <w:t>муниципального образования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32"/>
          <w:sz w:val="32"/>
          <w:szCs w:val="32"/>
          <w:u w:val="none"/>
          <w:vertAlign w:val="baseline"/>
        </w:rPr>
        <w:t>.</w:t>
      </w:r>
    </w:p>
    <w:p>
      <w:pPr>
        <w:pStyle w:val="Normal"/>
        <w:bidi w:val="0"/>
        <w:spacing w:before="0" w:after="113"/>
        <w:ind w:left="0" w:right="0" w:firstLine="850"/>
        <w:jc w:val="both"/>
        <w:rPr/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 xml:space="preserve">Расчет 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 xml:space="preserve">суммы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  <w:lang w:val="ru-RU"/>
        </w:rPr>
        <w:t xml:space="preserve">затрат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 xml:space="preserve">на осуществление полномочий по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>содержанию мест захоронения:</w:t>
      </w:r>
    </w:p>
    <w:p>
      <w:pPr>
        <w:pStyle w:val="Normal"/>
        <w:spacing w:before="0" w:after="113"/>
        <w:jc w:val="left"/>
        <w:rPr/>
      </w:pPr>
      <w:r>
        <w:rPr>
          <w:rFonts w:eastAsia="Times New Roman" w:cs="Times New Roman" w:ascii="Times New Roman" w:hAnsi="Times New Roman"/>
          <w:position w:val="0"/>
          <w:sz w:val="32"/>
          <w:sz w:val="32"/>
          <w:szCs w:val="32"/>
          <w:vertAlign w:val="baseline"/>
        </w:rPr>
        <w:t xml:space="preserve">     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32"/>
          <w:sz w:val="32"/>
          <w:szCs w:val="32"/>
          <w:u w:val="none"/>
          <w:vertAlign w:val="baseline"/>
        </w:rPr>
        <w:t xml:space="preserve">Σ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sz w:val="32"/>
          <w:szCs w:val="32"/>
          <w:u w:val="none"/>
          <w:vertAlign w:val="subscript"/>
          <w:lang w:val="ru-RU"/>
        </w:rPr>
        <w:t>затрат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sz w:val="32"/>
          <w:szCs w:val="32"/>
          <w:u w:val="none"/>
          <w:vertAlign w:val="subscript"/>
        </w:rPr>
        <w:t xml:space="preserve"> на сод.мест зах.</w:t>
      </w:r>
      <w:r>
        <w:rPr>
          <w:rFonts w:eastAsia="Times New Roman" w:cs="Times New Roman" w:ascii="Times New Roman" w:hAnsi="Times New Roman"/>
          <w:sz w:val="32"/>
          <w:szCs w:val="32"/>
          <w:vertAlign w:val="subscript"/>
        </w:rPr>
        <w:t xml:space="preserve"> </w:t>
      </w:r>
      <w:r>
        <w:rPr>
          <w:rFonts w:eastAsia="Times New Roman" w:cs="Times New Roman" w:ascii="Times New Roman" w:hAnsi="Times New Roman"/>
          <w:position w:val="0"/>
          <w:sz w:val="32"/>
          <w:sz w:val="32"/>
          <w:szCs w:val="32"/>
          <w:vertAlign w:val="baseline"/>
        </w:rPr>
        <w:t xml:space="preserve">=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32"/>
          <w:sz w:val="32"/>
          <w:szCs w:val="32"/>
          <w:u w:val="none"/>
          <w:vertAlign w:val="baseline"/>
        </w:rPr>
        <w:t xml:space="preserve">Σ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sz w:val="32"/>
          <w:szCs w:val="32"/>
          <w:u w:val="none"/>
          <w:vertAlign w:val="subscript"/>
        </w:rPr>
        <w:t>р-ов на полн.по сод.мест зах.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32"/>
          <w:sz w:val="32"/>
          <w:szCs w:val="32"/>
          <w:u w:val="none"/>
          <w:vertAlign w:val="baseline"/>
        </w:rPr>
        <w:t>/М</w:t>
      </w:r>
      <w:r>
        <w:rPr>
          <w:rFonts w:eastAsia="Times New Roman" w:cs="Times New Roman" w:ascii="Times New Roman" w:hAnsi="Times New Roman"/>
          <w:position w:val="0"/>
          <w:sz w:val="32"/>
          <w:sz w:val="32"/>
          <w:szCs w:val="32"/>
          <w:vertAlign w:val="baseline"/>
        </w:rPr>
        <w:t xml:space="preserve">, </w:t>
      </w:r>
      <w:r>
        <w:rPr>
          <w:rFonts w:eastAsia="Times New Roman" w:cs="Times New Roman" w:ascii="Times New Roman" w:hAnsi="Times New Roman"/>
          <w:position w:val="0"/>
          <w:sz w:val="28"/>
          <w:sz w:val="28"/>
          <w:szCs w:val="28"/>
          <w:vertAlign w:val="baseline"/>
        </w:rPr>
        <w:t>где</w:t>
      </w:r>
    </w:p>
    <w:p>
      <w:pPr>
        <w:pStyle w:val="Normal"/>
        <w:spacing w:before="0" w:after="113"/>
        <w:jc w:val="both"/>
        <w:rPr/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32"/>
          <w:sz w:val="32"/>
          <w:szCs w:val="32"/>
          <w:u w:val="none"/>
          <w:vertAlign w:val="baseline"/>
        </w:rPr>
        <w:t xml:space="preserve">Σ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sz w:val="32"/>
          <w:szCs w:val="32"/>
          <w:u w:val="none"/>
          <w:vertAlign w:val="subscript"/>
        </w:rPr>
        <w:t xml:space="preserve">р-ов на полн.по сод.мест зах.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>—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 xml:space="preserve"> сумма бюджетных ассигнований, предусмотренная на осуществление полномочий по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>содержанию мест захоронения в решении Совета Савинского муниципального района о бюджете;</w:t>
      </w:r>
    </w:p>
    <w:p>
      <w:pPr>
        <w:pStyle w:val="Normal"/>
        <w:spacing w:before="0" w:after="113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>М — количество мест захоронения на территории Савинского муниципального района (всего).</w:t>
      </w:r>
    </w:p>
    <w:sectPr>
      <w:type w:val="nextPage"/>
      <w:pgSz w:w="11906" w:h="16838"/>
      <w:pgMar w:left="1134" w:right="1134" w:header="0" w:top="405" w:footer="0" w:bottom="668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Calibri">
    <w:charset w:val="cc"/>
    <w:family w:val="swiss"/>
    <w:pitch w:val="variable"/>
  </w:font>
  <w:font w:name="Arial">
    <w:charset w:val="cc"/>
    <w:family w:val="swiss"/>
    <w:pitch w:val="default"/>
  </w:font>
  <w:font w:name="Times New Roman">
    <w:charset w:val="cc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Liberation Serif" w:hAnsi="Liberation Serif" w:eastAsia="SimSun" w:cs="Mang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Standard">
    <w:name w:val="Standard"/>
    <w:qFormat/>
    <w:pPr>
      <w:widowControl w:val="false"/>
      <w:suppressAutoHyphens w:val="true"/>
      <w:kinsoku w:val="true"/>
      <w:overflowPunct w:val="true"/>
      <w:autoSpaceDE w:val="true"/>
      <w:bidi w:val="0"/>
      <w:textAlignment w:val="baseline"/>
    </w:pPr>
    <w:rPr>
      <w:rFonts w:ascii="Times New Roman" w:hAnsi="Times New Roman" w:eastAsia="SimSun;Arial Unicode MS" w:cs="Mangal"/>
      <w:color w:val="auto"/>
      <w:kern w:val="2"/>
      <w:sz w:val="24"/>
      <w:szCs w:val="24"/>
      <w:lang w:val="ru-RU" w:eastAsia="zh-CN" w:bidi="hi-IN"/>
    </w:rPr>
  </w:style>
  <w:style w:type="paragraph" w:styleId="Style19">
    <w:name w:val="Без интервала"/>
    <w:qFormat/>
    <w:pPr>
      <w:widowControl/>
      <w:suppressAutoHyphens w:val="true"/>
      <w:kinsoku w:val="true"/>
      <w:overflowPunct w:val="true"/>
      <w:autoSpaceDE w:val="true"/>
      <w:bidi w:val="0"/>
      <w:spacing w:lineRule="atLeast" w:line="100"/>
      <w:textAlignment w:val="baseline"/>
    </w:pPr>
    <w:rPr>
      <w:rFonts w:ascii="Calibri" w:hAnsi="Calibri" w:eastAsia="Times New Roman" w:cs="Times New Roman"/>
      <w:color w:val="00000A"/>
      <w:kern w:val="2"/>
      <w:sz w:val="22"/>
      <w:szCs w:val="22"/>
      <w:lang w:val="ru-RU" w:eastAsia="zh-CN" w:bidi="ar-SA"/>
    </w:rPr>
  </w:style>
  <w:style w:type="paragraph" w:styleId="ConsPlusNormal">
    <w:name w:val="&#9;&#9;ConsPlusNormal"/>
    <w:qFormat/>
    <w:pPr>
      <w:widowControl/>
      <w:suppressAutoHyphens w:val="true"/>
      <w:kinsoku w:val="true"/>
      <w:overflowPunct w:val="true"/>
      <w:autoSpaceDE w:val="true"/>
      <w:bidi w:val="0"/>
    </w:pPr>
    <w:rPr>
      <w:rFonts w:ascii="Arial" w:hAnsi="Arial" w:eastAsia="Arial" w:cs="Tahoma"/>
      <w:b w:val="false"/>
      <w:i w:val="false"/>
      <w:strike w:val="false"/>
      <w:dstrike w:val="false"/>
      <w:color w:val="auto"/>
      <w:kern w:val="2"/>
      <w:sz w:val="20"/>
      <w:szCs w:val="24"/>
      <w:u w:val="none"/>
      <w:lang w:val="ru-RU" w:eastAsia="zh-CN" w:bidi="hi-IN"/>
    </w:rPr>
  </w:style>
  <w:style w:type="paragraph" w:styleId="Style20">
    <w:name w:val="Содержимое таблицы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LibreOffice/6.0.6.2$Windows_X86_64 LibreOffice_project/0c292870b25a325b5ed35f6b45599d2ea4458e77</Application>
  <Pages>3</Pages>
  <Words>361</Words>
  <Characters>2560</Characters>
  <CharactersWithSpaces>3331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2020-12-08T13:41:52Z</dcterms:created>
  <dc:creator/>
  <dc:description/>
  <dc:language>ru-RU</dc:language>
  <cp:lastModifiedBy/>
  <cp:lastPrinted>2020-12-08T15:22:34Z</cp:lastPrinted>
  <dcterms:modified xsi:type="dcterms:W3CDTF">2020-12-08T15:33:30Z</dcterms:modified>
  <cp:revision>2</cp:revision>
  <dc:subject/>
  <dc:title/>
</cp:coreProperties>
</file>